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6D5DB" w14:textId="77777777" w:rsidR="002C2286" w:rsidRDefault="002C2286">
      <w:pPr>
        <w:jc w:val="center"/>
        <w:rPr>
          <w:b/>
          <w:bCs/>
          <w:color w:val="000000"/>
          <w:sz w:val="24"/>
          <w:szCs w:val="24"/>
        </w:rPr>
      </w:pPr>
      <w:bookmarkStart w:id="0" w:name="PTE5"/>
      <w:bookmarkEnd w:id="0"/>
    </w:p>
    <w:p w14:paraId="58C702CE" w14:textId="77777777" w:rsidR="002C2286" w:rsidRDefault="00282D99">
      <w:pPr>
        <w:jc w:val="center"/>
        <w:rPr>
          <w:b/>
          <w:bCs/>
          <w:color w:val="000000"/>
          <w:sz w:val="24"/>
          <w:szCs w:val="24"/>
          <w:u w:val="single"/>
        </w:rPr>
      </w:pPr>
      <w:bookmarkStart w:id="1" w:name="PTE1"/>
      <w:bookmarkEnd w:id="1"/>
      <w:r>
        <w:rPr>
          <w:b/>
          <w:bCs/>
          <w:color w:val="000000"/>
          <w:sz w:val="24"/>
          <w:szCs w:val="24"/>
        </w:rPr>
        <w:t>Leistungsverzeichnis Kurz- und Langtext</w:t>
      </w:r>
    </w:p>
    <w:p w14:paraId="65C38747" w14:textId="77777777" w:rsidR="002C2286" w:rsidRDefault="002C2286">
      <w:pPr>
        <w:tabs>
          <w:tab w:val="right" w:pos="9637"/>
        </w:tabs>
        <w:rPr>
          <w:b/>
          <w:bCs/>
          <w:color w:val="000000"/>
        </w:rPr>
      </w:pPr>
    </w:p>
    <w:p w14:paraId="1929A4F5" w14:textId="77777777" w:rsidR="002C2286" w:rsidRDefault="00282D99">
      <w:pPr>
        <w:tabs>
          <w:tab w:val="right" w:pos="9637"/>
        </w:tabs>
        <w:rPr>
          <w:b/>
          <w:bCs/>
          <w:color w:val="000000"/>
        </w:rPr>
      </w:pPr>
      <w:r>
        <w:rPr>
          <w:b/>
          <w:bCs/>
          <w:strike/>
          <w:color w:val="000000"/>
        </w:rPr>
        <w:t xml:space="preserve"> </w:t>
      </w:r>
      <w:r>
        <w:rPr>
          <w:b/>
          <w:bCs/>
          <w:strike/>
          <w:color w:val="000000"/>
        </w:rPr>
        <w:tab/>
      </w:r>
    </w:p>
    <w:p w14:paraId="6DAA0FA3" w14:textId="77777777" w:rsidR="002C2286" w:rsidRDefault="00282D99">
      <w:pPr>
        <w:tabs>
          <w:tab w:val="left" w:pos="1417"/>
          <w:tab w:val="right" w:pos="5840"/>
          <w:tab w:val="left" w:pos="5953"/>
          <w:tab w:val="right" w:pos="7938"/>
          <w:tab w:val="right" w:pos="9637"/>
        </w:tabs>
        <w:rPr>
          <w:b/>
          <w:bCs/>
          <w:color w:val="000000"/>
          <w:u w:val="single"/>
        </w:rPr>
      </w:pPr>
      <w:r>
        <w:rPr>
          <w:b/>
          <w:bCs/>
          <w:color w:val="000000"/>
        </w:rPr>
        <w:t>OZ</w:t>
      </w:r>
      <w:r>
        <w:rPr>
          <w:b/>
          <w:bCs/>
          <w:color w:val="000000"/>
        </w:rPr>
        <w:tab/>
        <w:t>Leistungsbeschreibung</w:t>
      </w:r>
      <w:r>
        <w:rPr>
          <w:b/>
          <w:bCs/>
          <w:color w:val="000000"/>
        </w:rPr>
        <w:tab/>
        <w:t>Menge</w:t>
      </w:r>
      <w:r>
        <w:rPr>
          <w:b/>
          <w:bCs/>
          <w:color w:val="000000"/>
        </w:rPr>
        <w:tab/>
        <w:t>ME</w:t>
      </w:r>
      <w:r>
        <w:rPr>
          <w:b/>
          <w:bCs/>
          <w:color w:val="000000"/>
        </w:rPr>
        <w:tab/>
        <w:t>Einheitspreis</w:t>
      </w:r>
      <w:r>
        <w:rPr>
          <w:b/>
          <w:bCs/>
          <w:color w:val="000000"/>
        </w:rPr>
        <w:tab/>
        <w:t>Gesamtbetrag</w:t>
      </w:r>
    </w:p>
    <w:p w14:paraId="3026C8BE" w14:textId="77777777" w:rsidR="002C2286" w:rsidRDefault="00282D99">
      <w:pPr>
        <w:tabs>
          <w:tab w:val="right" w:pos="3968"/>
          <w:tab w:val="left" w:pos="4251"/>
          <w:tab w:val="right" w:pos="7938"/>
          <w:tab w:val="right" w:pos="9637"/>
        </w:tabs>
        <w:rPr>
          <w:b/>
          <w:bCs/>
          <w:color w:val="000000"/>
        </w:rPr>
      </w:pPr>
      <w:r>
        <w:rPr>
          <w:b/>
          <w:bCs/>
          <w:color w:val="000000"/>
        </w:rPr>
        <w:tab/>
      </w:r>
      <w:r>
        <w:rPr>
          <w:b/>
          <w:bCs/>
          <w:color w:val="000000"/>
        </w:rPr>
        <w:tab/>
      </w:r>
      <w:r>
        <w:rPr>
          <w:b/>
          <w:bCs/>
          <w:color w:val="000000"/>
        </w:rPr>
        <w:tab/>
        <w:t>in EUR</w:t>
      </w:r>
      <w:r>
        <w:rPr>
          <w:b/>
          <w:bCs/>
          <w:color w:val="000000"/>
        </w:rPr>
        <w:tab/>
        <w:t>in EUR</w:t>
      </w:r>
    </w:p>
    <w:p w14:paraId="5AEFE37C" w14:textId="77777777" w:rsidR="002C2286" w:rsidRDefault="00282D99">
      <w:pPr>
        <w:tabs>
          <w:tab w:val="right" w:pos="9637"/>
        </w:tabs>
        <w:rPr>
          <w:color w:val="000000"/>
        </w:rPr>
      </w:pPr>
      <w:r>
        <w:rPr>
          <w:b/>
          <w:bCs/>
          <w:strike/>
          <w:color w:val="000000"/>
        </w:rPr>
        <w:t xml:space="preserve"> </w:t>
      </w:r>
      <w:r>
        <w:rPr>
          <w:b/>
          <w:bCs/>
          <w:strike/>
          <w:color w:val="000000"/>
        </w:rPr>
        <w:tab/>
      </w:r>
    </w:p>
    <w:p w14:paraId="3FF6EA4F" w14:textId="77777777" w:rsidR="002C2286" w:rsidRDefault="002C2286">
      <w:pPr>
        <w:tabs>
          <w:tab w:val="left" w:pos="1417"/>
        </w:tabs>
        <w:rPr>
          <w:b/>
          <w:bCs/>
          <w:color w:val="000000"/>
        </w:rPr>
      </w:pPr>
      <w:bookmarkStart w:id="2" w:name="&gt;VspE&lt;"/>
      <w:bookmarkEnd w:id="2"/>
    </w:p>
    <w:p w14:paraId="7E879F81" w14:textId="77777777" w:rsidR="002C2286" w:rsidRDefault="00282D99">
      <w:pPr>
        <w:tabs>
          <w:tab w:val="left" w:pos="1417"/>
        </w:tabs>
        <w:rPr>
          <w:b/>
          <w:bCs/>
          <w:color w:val="000000"/>
        </w:rPr>
      </w:pPr>
      <w:r>
        <w:rPr>
          <w:b/>
          <w:bCs/>
          <w:color w:val="000000"/>
        </w:rPr>
        <w:t>1.</w:t>
      </w:r>
      <w:r>
        <w:rPr>
          <w:b/>
          <w:bCs/>
          <w:color w:val="000000"/>
        </w:rPr>
        <w:tab/>
        <w:t>Titel XY</w:t>
      </w:r>
    </w:p>
    <w:p w14:paraId="33FF0AA8" w14:textId="77777777" w:rsidR="002C2286" w:rsidRDefault="002C2286">
      <w:pPr>
        <w:tabs>
          <w:tab w:val="left" w:pos="1417"/>
        </w:tabs>
        <w:rPr>
          <w:b/>
          <w:bCs/>
          <w:color w:val="000000"/>
        </w:rPr>
      </w:pPr>
      <w:bookmarkStart w:id="3" w:name="PTE2"/>
      <w:bookmarkEnd w:id="3"/>
    </w:p>
    <w:p w14:paraId="5A488CFF" w14:textId="77777777" w:rsidR="002C2286" w:rsidRDefault="00282D99">
      <w:pPr>
        <w:tabs>
          <w:tab w:val="left" w:pos="1417"/>
        </w:tabs>
        <w:rPr>
          <w:b/>
          <w:bCs/>
          <w:color w:val="000000"/>
        </w:rPr>
      </w:pPr>
      <w:r>
        <w:rPr>
          <w:b/>
          <w:bCs/>
          <w:color w:val="000000"/>
        </w:rPr>
        <w:t>1.1.</w:t>
      </w:r>
      <w:r>
        <w:rPr>
          <w:b/>
          <w:bCs/>
          <w:color w:val="000000"/>
        </w:rPr>
        <w:tab/>
        <w:t>Titel XY</w:t>
      </w:r>
    </w:p>
    <w:p w14:paraId="2C55F4CB" w14:textId="77777777" w:rsidR="002C2286" w:rsidRDefault="002C2286">
      <w:pPr>
        <w:tabs>
          <w:tab w:val="left" w:pos="1417"/>
        </w:tabs>
        <w:rPr>
          <w:b/>
          <w:bCs/>
          <w:color w:val="000000"/>
        </w:rPr>
      </w:pPr>
      <w:bookmarkStart w:id="4" w:name="BkOZ0"/>
      <w:bookmarkEnd w:id="4"/>
    </w:p>
    <w:p w14:paraId="789CE7A2" w14:textId="77777777" w:rsidR="002C2286" w:rsidRDefault="00282D99">
      <w:pPr>
        <w:tabs>
          <w:tab w:val="left" w:pos="1417"/>
        </w:tabs>
        <w:rPr>
          <w:color w:val="000000"/>
        </w:rPr>
      </w:pPr>
      <w:r>
        <w:rPr>
          <w:b/>
          <w:bCs/>
          <w:color w:val="000000"/>
        </w:rPr>
        <w:t>1.1.10.</w:t>
      </w:r>
      <w:r>
        <w:rPr>
          <w:color w:val="000000"/>
        </w:rPr>
        <w:tab/>
      </w:r>
      <w:r>
        <w:rPr>
          <w:b/>
          <w:bCs/>
          <w:color w:val="000000"/>
        </w:rPr>
        <w:t>Hydraulische Fuge</w:t>
      </w:r>
    </w:p>
    <w:p w14:paraId="366F3487" w14:textId="77777777" w:rsidR="002C2286" w:rsidRDefault="00282D99" w:rsidP="00D22B3F">
      <w:pPr>
        <w:pStyle w:val="LV-Langtext"/>
        <w:jc w:val="both"/>
        <w:rPr>
          <w:color w:val="000000"/>
        </w:rPr>
      </w:pPr>
      <w:r>
        <w:rPr>
          <w:color w:val="000000"/>
        </w:rPr>
        <w:t xml:space="preserve">Lieferung und Einbau von Hydraulischen Fugen mit Fluidfüllung als Druckübertragungsmittel System TuSo „Hydraulische Fuge“ o. </w:t>
      </w:r>
      <w:proofErr w:type="spellStart"/>
      <w:r>
        <w:rPr>
          <w:color w:val="000000"/>
        </w:rPr>
        <w:t>glw</w:t>
      </w:r>
      <w:proofErr w:type="spellEnd"/>
      <w:r>
        <w:rPr>
          <w:color w:val="000000"/>
        </w:rPr>
        <w:t xml:space="preserve">. mit einem </w:t>
      </w:r>
      <w:r w:rsidR="00DF1166">
        <w:rPr>
          <w:color w:val="000000"/>
        </w:rPr>
        <w:t>Regelwerks-</w:t>
      </w:r>
      <w:r>
        <w:rPr>
          <w:color w:val="000000"/>
        </w:rPr>
        <w:t xml:space="preserve">konformen Nachweis nach Arbeitsblatt DWA-A 161. Bei der Berechnung der zulässigen Vortriebskraft für die Hydraulischen Fugen müssen die speziellen Hinweise (DWA-A 161, Abschnitt 4.7.2) beachtet werden. Darüber hinaus müssen auch insbesondere die Ansätze der Abwinklungen aus planmäßiger Kurvenfahrt, aus Steuerbewegungen und aus Abweichungen der Rohrspiegel von der Parallelität berücksichtigt werden. Lediglich der Kombinationsfaktor </w:t>
      </w:r>
      <w:proofErr w:type="spellStart"/>
      <w:r>
        <w:rPr>
          <w:color w:val="000000"/>
        </w:rPr>
        <w:t>psi</w:t>
      </w:r>
      <w:proofErr w:type="spellEnd"/>
      <w:r>
        <w:rPr>
          <w:color w:val="000000"/>
        </w:rPr>
        <w:t xml:space="preserve"> darf aufgrund der gegenüber Druckübertragungsringen aus Holz günstigeren Spannungsverteilung auf 0,5 (statt 0,8) gesetzt werden. </w:t>
      </w:r>
    </w:p>
    <w:p w14:paraId="633EF07D" w14:textId="77777777" w:rsidR="002C2286" w:rsidRDefault="002C2286" w:rsidP="00D22B3F">
      <w:pPr>
        <w:pStyle w:val="LV-Langtext"/>
        <w:jc w:val="both"/>
        <w:rPr>
          <w:color w:val="000000"/>
        </w:rPr>
      </w:pPr>
    </w:p>
    <w:p w14:paraId="009CD643" w14:textId="77777777" w:rsidR="00DF1166" w:rsidRDefault="00282D99" w:rsidP="00D22B3F">
      <w:pPr>
        <w:pStyle w:val="LV-Langtext"/>
        <w:jc w:val="both"/>
        <w:rPr>
          <w:color w:val="000000"/>
        </w:rPr>
      </w:pPr>
      <w:r>
        <w:rPr>
          <w:color w:val="000000"/>
        </w:rPr>
        <w:t xml:space="preserve">Bei der Hydraulischen Fuge ist der Ansatz einer planmäßigen Klaffung (einseitiges oder beidseitiges Abheben des Schlauches </w:t>
      </w:r>
      <w:r w:rsidR="00DF1166">
        <w:rPr>
          <w:color w:val="000000"/>
        </w:rPr>
        <w:t>des Rohrspiegels</w:t>
      </w:r>
      <w:r>
        <w:rPr>
          <w:color w:val="000000"/>
        </w:rPr>
        <w:t xml:space="preserve">) bei der rechnerischen </w:t>
      </w:r>
      <w:proofErr w:type="spellStart"/>
      <w:r>
        <w:rPr>
          <w:color w:val="000000"/>
        </w:rPr>
        <w:t>Gesamtabwinklung</w:t>
      </w:r>
      <w:proofErr w:type="spellEnd"/>
      <w:r>
        <w:rPr>
          <w:color w:val="000000"/>
        </w:rPr>
        <w:t xml:space="preserve"> nicht zulässig. </w:t>
      </w:r>
    </w:p>
    <w:p w14:paraId="1BD47C91" w14:textId="77777777" w:rsidR="00DF1166" w:rsidRDefault="00DF1166" w:rsidP="00D22B3F">
      <w:pPr>
        <w:pStyle w:val="LV-Langtext"/>
        <w:jc w:val="both"/>
        <w:rPr>
          <w:color w:val="000000"/>
        </w:rPr>
      </w:pPr>
      <w:r>
        <w:rPr>
          <w:color w:val="000000"/>
        </w:rPr>
        <w:t xml:space="preserve">Jeder einzelne verwendete Schlauch incl. der Endverschlüsse muss vor dem Einbau mindestens mit dem 1,2-fachen </w:t>
      </w:r>
      <w:r w:rsidR="003A332A">
        <w:rPr>
          <w:color w:val="000000"/>
        </w:rPr>
        <w:t>Berechnungsdruck (der dazugehörigen Statik zu entnehmen) geprüft werden, wobei die Haltezeit für den Prüfdruck mindestens 90 Sekunden betragen muss.</w:t>
      </w:r>
    </w:p>
    <w:p w14:paraId="41BB914E" w14:textId="77777777" w:rsidR="003A332A" w:rsidRDefault="003A332A" w:rsidP="00D22B3F">
      <w:pPr>
        <w:pStyle w:val="LV-Langtext"/>
        <w:jc w:val="both"/>
        <w:rPr>
          <w:color w:val="000000"/>
        </w:rPr>
      </w:pPr>
      <w:r>
        <w:rPr>
          <w:color w:val="000000"/>
        </w:rPr>
        <w:t xml:space="preserve">Ebenso muss die Länge jedes einzelnen Schlauchs geprüft werden. Die Dokumentation der Prüfungen muss vor dem Einbau vorgelegt werden. </w:t>
      </w:r>
    </w:p>
    <w:p w14:paraId="53C23F61" w14:textId="77777777" w:rsidR="00DF1166" w:rsidRDefault="00DF1166" w:rsidP="00D22B3F">
      <w:pPr>
        <w:pStyle w:val="LV-Langtext"/>
        <w:jc w:val="both"/>
        <w:rPr>
          <w:color w:val="000000"/>
        </w:rPr>
      </w:pPr>
    </w:p>
    <w:p w14:paraId="5E064CE5" w14:textId="77777777" w:rsidR="002C2286" w:rsidRDefault="00282D99" w:rsidP="00D22B3F">
      <w:pPr>
        <w:pStyle w:val="LV-Langtext"/>
        <w:jc w:val="both"/>
        <w:rPr>
          <w:color w:val="000000"/>
        </w:rPr>
      </w:pPr>
      <w:r>
        <w:rPr>
          <w:color w:val="000000"/>
        </w:rPr>
        <w:t xml:space="preserve">Lieferung als ein- oder mehrfach umlaufende geschlossene Ringe, in der Lage fixiert ohne Anbohren oder Ankleben am Rohrspiegel. An den Vortriebsrohrinnenseiten sowie den Betonkanten der Rohrspiegel dürfen keine Aussparungen oder Abschrägungen </w:t>
      </w:r>
      <w:r w:rsidR="003A332A">
        <w:rPr>
          <w:color w:val="000000"/>
        </w:rPr>
        <w:t xml:space="preserve">ausgebildet </w:t>
      </w:r>
      <w:r>
        <w:rPr>
          <w:color w:val="000000"/>
        </w:rPr>
        <w:t xml:space="preserve">sein. Alle </w:t>
      </w:r>
      <w:r w:rsidR="00523555">
        <w:rPr>
          <w:color w:val="000000"/>
        </w:rPr>
        <w:t xml:space="preserve">evtl. </w:t>
      </w:r>
      <w:r>
        <w:rPr>
          <w:color w:val="000000"/>
        </w:rPr>
        <w:t xml:space="preserve">Aussparungen auf den Rohrspiegeln dürfen sich nicht bis zur inneren oder äußeren Mantelfläche des Rohres erstrecken. Dies gilt auch für den Beton an der Stahlmanschette, um </w:t>
      </w:r>
      <w:proofErr w:type="spellStart"/>
      <w:r>
        <w:rPr>
          <w:color w:val="000000"/>
        </w:rPr>
        <w:t>Umläufigkeiten</w:t>
      </w:r>
      <w:proofErr w:type="spellEnd"/>
      <w:r>
        <w:rPr>
          <w:color w:val="000000"/>
        </w:rPr>
        <w:t xml:space="preserve"> zu vermeiden.</w:t>
      </w:r>
      <w:r>
        <w:rPr>
          <w:color w:val="000000"/>
        </w:rPr>
        <w:br/>
        <w:t>Die Tasche zur Aufnahme der Endverschlüsse der Schläuche muss auf der muffenseitigen Rohrstirnfläche abgewinkelt ausgebildet werden, so dass die Schlauchenden nicht punktuell belastet oder geknickt werden. An den Schlauchenden muss ein freies Gelenk angeordnet sein.</w:t>
      </w:r>
      <w:r>
        <w:rPr>
          <w:color w:val="000000"/>
        </w:rPr>
        <w:br/>
        <w:t>Es dürfen pro Fuge maximal 2 Stäbe der Ringbewehrung durch die Tasche unterbrochen werden.</w:t>
      </w:r>
      <w:r w:rsidR="003A332A">
        <w:rPr>
          <w:color w:val="000000"/>
        </w:rPr>
        <w:t xml:space="preserve"> </w:t>
      </w:r>
    </w:p>
    <w:p w14:paraId="32C0D32C" w14:textId="77777777" w:rsidR="002C2286" w:rsidRDefault="002C2286" w:rsidP="00D22B3F">
      <w:pPr>
        <w:pStyle w:val="LV-Langtext"/>
        <w:jc w:val="both"/>
        <w:rPr>
          <w:color w:val="000000"/>
        </w:rPr>
      </w:pPr>
    </w:p>
    <w:p w14:paraId="2A71FAA1" w14:textId="77777777" w:rsidR="00523555" w:rsidRDefault="00282D99" w:rsidP="00D22B3F">
      <w:pPr>
        <w:pStyle w:val="LV-Langtext"/>
        <w:jc w:val="both"/>
        <w:rPr>
          <w:color w:val="000000"/>
        </w:rPr>
      </w:pPr>
      <w:r>
        <w:rPr>
          <w:color w:val="000000"/>
        </w:rPr>
        <w:t xml:space="preserve">Weder während noch nach dem Vortrieb dürfen </w:t>
      </w:r>
      <w:r w:rsidR="00523555">
        <w:rPr>
          <w:color w:val="000000"/>
        </w:rPr>
        <w:t xml:space="preserve">u.a. aus Arbeitssicherheitsgründen </w:t>
      </w:r>
      <w:r>
        <w:rPr>
          <w:color w:val="000000"/>
        </w:rPr>
        <w:t xml:space="preserve">Teile der Hydraulischen Fuge in den Lichtraum des Vortriebsrohres ragen. Die Hydraulische Fuge darf nicht mit einem Hahn oder </w:t>
      </w:r>
      <w:r w:rsidR="00523555">
        <w:rPr>
          <w:color w:val="000000"/>
        </w:rPr>
        <w:t>einem anderen Ventil</w:t>
      </w:r>
      <w:r>
        <w:rPr>
          <w:color w:val="000000"/>
        </w:rPr>
        <w:t xml:space="preserve"> geliefert </w:t>
      </w:r>
      <w:r w:rsidR="00523555">
        <w:rPr>
          <w:color w:val="000000"/>
        </w:rPr>
        <w:t>werden,</w:t>
      </w:r>
      <w:r>
        <w:rPr>
          <w:color w:val="000000"/>
        </w:rPr>
        <w:t xml:space="preserve"> um ein ungewolltes Öffnen zu vermeiden.</w:t>
      </w:r>
      <w:r w:rsidR="00523555" w:rsidRPr="00523555">
        <w:rPr>
          <w:color w:val="000000"/>
        </w:rPr>
        <w:t xml:space="preserve"> </w:t>
      </w:r>
      <w:r w:rsidR="00523555">
        <w:rPr>
          <w:color w:val="000000"/>
        </w:rPr>
        <w:t>Die Fluidfüllung muss umweltverträglich sein.</w:t>
      </w:r>
    </w:p>
    <w:p w14:paraId="71A8BC71" w14:textId="77777777" w:rsidR="002C2286" w:rsidRDefault="002C2286">
      <w:pPr>
        <w:tabs>
          <w:tab w:val="left" w:pos="1417"/>
          <w:tab w:val="right" w:pos="7653"/>
        </w:tabs>
        <w:rPr>
          <w:color w:val="000000"/>
        </w:rPr>
      </w:pPr>
    </w:p>
    <w:p w14:paraId="71521F9A" w14:textId="77777777" w:rsidR="002C2286" w:rsidRDefault="00282D99">
      <w:pPr>
        <w:tabs>
          <w:tab w:val="decimal" w:pos="5556"/>
          <w:tab w:val="left" w:pos="6010"/>
          <w:tab w:val="right" w:pos="7994"/>
          <w:tab w:val="right" w:pos="9637"/>
        </w:tabs>
        <w:rPr>
          <w:color w:val="000000"/>
        </w:rPr>
      </w:pPr>
      <w:r>
        <w:rPr>
          <w:color w:val="000000"/>
        </w:rPr>
        <w:lastRenderedPageBreak/>
        <w:tab/>
        <w:t>0,000</w:t>
      </w:r>
      <w:r>
        <w:rPr>
          <w:color w:val="000000"/>
        </w:rPr>
        <w:tab/>
        <w:t>Stk</w:t>
      </w:r>
      <w:r>
        <w:rPr>
          <w:color w:val="000000"/>
        </w:rPr>
        <w:tab/>
        <w:t>.........................</w:t>
      </w:r>
      <w:r>
        <w:rPr>
          <w:color w:val="000000"/>
        </w:rPr>
        <w:tab/>
        <w:t>.........................</w:t>
      </w:r>
    </w:p>
    <w:p w14:paraId="76934E27" w14:textId="77777777" w:rsidR="002C2286" w:rsidRDefault="00282D99">
      <w:pPr>
        <w:tabs>
          <w:tab w:val="left" w:pos="1417"/>
          <w:tab w:val="right" w:pos="9637"/>
        </w:tabs>
        <w:rPr>
          <w:color w:val="000000"/>
        </w:rPr>
      </w:pPr>
      <w:r>
        <w:rPr>
          <w:color w:val="000000"/>
        </w:rPr>
        <w:tab/>
      </w:r>
      <w:r>
        <w:rPr>
          <w:strike/>
          <w:color w:val="000000"/>
        </w:rPr>
        <w:tab/>
      </w:r>
    </w:p>
    <w:p w14:paraId="0C2A2E13" w14:textId="77777777" w:rsidR="002C2286" w:rsidRDefault="002C2286">
      <w:pPr>
        <w:tabs>
          <w:tab w:val="left" w:pos="1417"/>
          <w:tab w:val="left" w:pos="3402"/>
          <w:tab w:val="right" w:pos="9637"/>
        </w:tabs>
        <w:rPr>
          <w:b/>
          <w:bCs/>
          <w:color w:val="000000"/>
        </w:rPr>
      </w:pPr>
    </w:p>
    <w:p w14:paraId="493644C7" w14:textId="77777777" w:rsidR="002C2286" w:rsidRDefault="00282D99" w:rsidP="00AC6C35">
      <w:pPr>
        <w:tabs>
          <w:tab w:val="left" w:pos="1417"/>
          <w:tab w:val="left" w:pos="3402"/>
          <w:tab w:val="right" w:pos="9637"/>
        </w:tabs>
        <w:rPr>
          <w:color w:val="000000"/>
        </w:rPr>
      </w:pPr>
      <w:r>
        <w:rPr>
          <w:b/>
          <w:bCs/>
          <w:color w:val="000000"/>
        </w:rPr>
        <w:tab/>
        <w:t>Summe 1.1.</w:t>
      </w:r>
      <w:r>
        <w:rPr>
          <w:b/>
          <w:bCs/>
          <w:color w:val="000000"/>
        </w:rPr>
        <w:tab/>
        <w:t>Titel XY</w:t>
      </w:r>
      <w:r>
        <w:rPr>
          <w:b/>
          <w:bCs/>
          <w:color w:val="000000"/>
        </w:rPr>
        <w:tab/>
        <w:t>.........................</w:t>
      </w:r>
    </w:p>
    <w:p w14:paraId="41F950C6" w14:textId="77777777" w:rsidR="00282D99" w:rsidRDefault="00282D99" w:rsidP="00AC6C35">
      <w:pPr>
        <w:rPr>
          <w:b/>
          <w:bCs/>
          <w:color w:val="000000"/>
          <w:sz w:val="24"/>
          <w:szCs w:val="24"/>
        </w:rPr>
      </w:pPr>
    </w:p>
    <w:sectPr w:rsidR="00282D99">
      <w:headerReference w:type="default" r:id="rId6"/>
      <w:footerReference w:type="default" r:id="rId7"/>
      <w:pgSz w:w="11905" w:h="16837"/>
      <w:pgMar w:top="1360" w:right="848" w:bottom="10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C5D9E" w14:textId="77777777" w:rsidR="00375485" w:rsidRDefault="00375485">
      <w:r>
        <w:separator/>
      </w:r>
    </w:p>
  </w:endnote>
  <w:endnote w:type="continuationSeparator" w:id="0">
    <w:p w14:paraId="0643DF63" w14:textId="77777777" w:rsidR="00375485" w:rsidRDefault="00375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CC039" w14:textId="77777777" w:rsidR="002C2286" w:rsidRDefault="00282D99">
    <w:pPr>
      <w:framePr w:w="9637" w:h="283" w:hRule="exact" w:wrap="none" w:vAnchor="page" w:hAnchor="page" w:x="1418" w:y="15976"/>
      <w:tabs>
        <w:tab w:val="right" w:pos="9570"/>
      </w:tabs>
      <w:rPr>
        <w:color w:val="000000"/>
      </w:rPr>
    </w:pPr>
    <w:r>
      <w:rPr>
        <w:color w:val="000000"/>
        <w:sz w:val="16"/>
        <w:szCs w:val="16"/>
      </w:rPr>
      <w:t xml:space="preserve">Druckdatum:  </w:t>
    </w:r>
    <w:r>
      <w:rPr>
        <w:color w:val="000000"/>
        <w:sz w:val="16"/>
        <w:szCs w:val="16"/>
      </w:rPr>
      <w:fldChar w:fldCharType="begin" w:fldLock="1"/>
    </w:r>
    <w:r>
      <w:rPr>
        <w:color w:val="000000"/>
        <w:sz w:val="16"/>
        <w:szCs w:val="16"/>
      </w:rPr>
      <w:instrText>TAOFLD_DATEVAR2 \* MERGEFORMAT</w:instrText>
    </w:r>
    <w:r>
      <w:rPr>
        <w:color w:val="000000"/>
        <w:sz w:val="16"/>
        <w:szCs w:val="16"/>
      </w:rPr>
      <w:fldChar w:fldCharType="separate"/>
    </w:r>
    <w:r>
      <w:rPr>
        <w:color w:val="000000"/>
        <w:sz w:val="16"/>
        <w:szCs w:val="16"/>
      </w:rPr>
      <w:t>04.08.2017</w:t>
    </w:r>
    <w:r>
      <w:rPr>
        <w:color w:val="000000"/>
        <w:sz w:val="16"/>
        <w:szCs w:val="16"/>
      </w:rPr>
      <w:fldChar w:fldCharType="end"/>
    </w:r>
    <w:r>
      <w:rPr>
        <w:color w:val="000000"/>
        <w:sz w:val="16"/>
        <w:szCs w:val="16"/>
      </w:rPr>
      <w:t xml:space="preserve"> </w:t>
    </w:r>
    <w:r>
      <w:rPr>
        <w:color w:val="000000"/>
        <w:sz w:val="16"/>
        <w:szCs w:val="16"/>
      </w:rPr>
      <w:fldChar w:fldCharType="begin" w:fldLock="1"/>
    </w:r>
    <w:r>
      <w:rPr>
        <w:color w:val="000000"/>
        <w:sz w:val="16"/>
        <w:szCs w:val="16"/>
      </w:rPr>
      <w:instrText>TAOFLD_TIMEVAR2 \* MERGEFORMAT</w:instrText>
    </w:r>
    <w:r>
      <w:rPr>
        <w:color w:val="000000"/>
        <w:sz w:val="16"/>
        <w:szCs w:val="16"/>
      </w:rPr>
      <w:fldChar w:fldCharType="end"/>
    </w:r>
    <w:r>
      <w:rPr>
        <w:color w:val="000000"/>
        <w:sz w:val="16"/>
        <w:szCs w:val="16"/>
      </w:rPr>
      <w:tab/>
      <w:t xml:space="preserve">Seite: </w:t>
    </w:r>
    <w:r>
      <w:rPr>
        <w:color w:val="000000"/>
        <w:sz w:val="16"/>
        <w:szCs w:val="16"/>
      </w:rPr>
      <w:fldChar w:fldCharType="begin"/>
    </w:r>
    <w:r>
      <w:rPr>
        <w:color w:val="000000"/>
        <w:sz w:val="16"/>
        <w:szCs w:val="16"/>
      </w:rPr>
      <w:instrText>PAGE \* Arabic \* MERGEFORMAT</w:instrText>
    </w:r>
    <w:r>
      <w:rPr>
        <w:color w:val="000000"/>
        <w:sz w:val="16"/>
        <w:szCs w:val="16"/>
      </w:rPr>
      <w:fldChar w:fldCharType="separate"/>
    </w:r>
    <w:r w:rsidR="00AC6C35">
      <w:rPr>
        <w:noProof/>
        <w:color w:val="000000"/>
        <w:sz w:val="16"/>
        <w:szCs w:val="16"/>
      </w:rPr>
      <w:t>1</w:t>
    </w:r>
    <w:r>
      <w:rPr>
        <w:color w:val="000000"/>
        <w:sz w:val="16"/>
        <w:szCs w:val="16"/>
      </w:rPr>
      <w:fldChar w:fldCharType="end"/>
    </w:r>
    <w:r>
      <w:rPr>
        <w:color w:val="000000"/>
        <w:sz w:val="16"/>
        <w:szCs w:val="16"/>
      </w:rPr>
      <w:t xml:space="preserve"> von </w:t>
    </w:r>
    <w:r>
      <w:rPr>
        <w:color w:val="000000"/>
        <w:sz w:val="16"/>
        <w:szCs w:val="16"/>
      </w:rPr>
      <w:fldChar w:fldCharType="begin"/>
    </w:r>
    <w:r>
      <w:rPr>
        <w:color w:val="000000"/>
        <w:sz w:val="16"/>
        <w:szCs w:val="16"/>
      </w:rPr>
      <w:instrText>NUMPAGES \* Arabic \* MERGEFORMAT</w:instrText>
    </w:r>
    <w:r>
      <w:rPr>
        <w:color w:val="000000"/>
        <w:sz w:val="16"/>
        <w:szCs w:val="16"/>
      </w:rPr>
      <w:fldChar w:fldCharType="separate"/>
    </w:r>
    <w:r w:rsidR="00AC6C35">
      <w:rPr>
        <w:noProof/>
        <w:color w:val="000000"/>
        <w:sz w:val="16"/>
        <w:szCs w:val="16"/>
      </w:rPr>
      <w:t>1</w:t>
    </w:r>
    <w:r>
      <w:rPr>
        <w:color w:val="000000"/>
        <w:sz w:val="16"/>
        <w:szCs w:val="16"/>
      </w:rPr>
      <w:fldChar w:fldCharType="end"/>
    </w:r>
  </w:p>
  <w:p w14:paraId="01C738DB" w14:textId="77777777" w:rsidR="002C2286" w:rsidRDefault="002C2286">
    <w:pPr>
      <w:framePr w:w="9637" w:h="283" w:hRule="exact" w:wrap="none" w:vAnchor="page" w:hAnchor="page" w:x="1418" w:y="15976"/>
      <w:tabs>
        <w:tab w:val="right" w:pos="9570"/>
      </w:tabs>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444FB" w14:textId="77777777" w:rsidR="00375485" w:rsidRDefault="00375485">
      <w:r>
        <w:separator/>
      </w:r>
    </w:p>
  </w:footnote>
  <w:footnote w:type="continuationSeparator" w:id="0">
    <w:p w14:paraId="7982AFFE" w14:textId="77777777" w:rsidR="00375485" w:rsidRDefault="00375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9B7D2" w14:textId="77777777" w:rsidR="002C2286" w:rsidRDefault="002C2286">
    <w:pP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1133"/>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C35"/>
    <w:rsid w:val="00282D99"/>
    <w:rsid w:val="002C2286"/>
    <w:rsid w:val="00342405"/>
    <w:rsid w:val="00375485"/>
    <w:rsid w:val="003A332A"/>
    <w:rsid w:val="00523555"/>
    <w:rsid w:val="00A8750C"/>
    <w:rsid w:val="00AC6C35"/>
    <w:rsid w:val="00BE185F"/>
    <w:rsid w:val="00CD1694"/>
    <w:rsid w:val="00D22B3F"/>
    <w:rsid w:val="00DF11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6C8EB2"/>
  <w14:defaultImageDpi w14:val="0"/>
  <w15:docId w15:val="{F7B6A557-BA89-4379-8CAF-FE4B4845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autoSpaceDE w:val="0"/>
      <w:autoSpaceDN w:val="0"/>
      <w:adjustRightInd w:val="0"/>
      <w:spacing w:after="0" w:line="240" w:lineRule="auto"/>
    </w:pPr>
    <w:rPr>
      <w:rFonts w:ascii="Arial" w:hAnsi="Arial" w:cs="Arial"/>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
    <w:name w:val="Tabellen"/>
    <w:uiPriority w:val="99"/>
    <w:pPr>
      <w:widowControl w:val="0"/>
      <w:autoSpaceDE w:val="0"/>
      <w:autoSpaceDN w:val="0"/>
      <w:adjustRightInd w:val="0"/>
      <w:spacing w:after="0" w:line="240" w:lineRule="auto"/>
    </w:pPr>
    <w:rPr>
      <w:rFonts w:ascii="Arial" w:hAnsi="Arial" w:cs="Arial"/>
      <w:sz w:val="20"/>
      <w:szCs w:val="20"/>
    </w:rPr>
  </w:style>
  <w:style w:type="paragraph" w:customStyle="1" w:styleId="Cursorboxen">
    <w:name w:val="Cursorboxen"/>
    <w:uiPriority w:val="99"/>
    <w:pPr>
      <w:widowControl w:val="0"/>
      <w:autoSpaceDE w:val="0"/>
      <w:autoSpaceDN w:val="0"/>
      <w:adjustRightInd w:val="0"/>
      <w:spacing w:after="0" w:line="240" w:lineRule="auto"/>
    </w:pPr>
    <w:rPr>
      <w:rFonts w:ascii="Arial" w:hAnsi="Arial" w:cs="Arial"/>
      <w:sz w:val="20"/>
      <w:szCs w:val="20"/>
    </w:rPr>
  </w:style>
  <w:style w:type="paragraph" w:customStyle="1" w:styleId="LV-Langtext">
    <w:name w:val="LV-Langtext"/>
    <w:uiPriority w:val="99"/>
    <w:pPr>
      <w:widowControl w:val="0"/>
      <w:autoSpaceDE w:val="0"/>
      <w:autoSpaceDN w:val="0"/>
      <w:adjustRightInd w:val="0"/>
      <w:spacing w:after="0" w:line="240" w:lineRule="auto"/>
      <w:ind w:left="1417" w:right="2551"/>
    </w:pPr>
    <w:rPr>
      <w:rFonts w:ascii="Arial" w:hAnsi="Arial" w:cs="Arial"/>
      <w:sz w:val="20"/>
      <w:szCs w:val="20"/>
    </w:rPr>
  </w:style>
  <w:style w:type="paragraph" w:customStyle="1" w:styleId="LV-Text">
    <w:name w:val="LV-Text"/>
    <w:uiPriority w:val="99"/>
    <w:pPr>
      <w:widowControl w:val="0"/>
      <w:autoSpaceDE w:val="0"/>
      <w:autoSpaceDN w:val="0"/>
      <w:adjustRightInd w:val="0"/>
      <w:spacing w:after="0" w:line="240" w:lineRule="auto"/>
    </w:pPr>
    <w:rPr>
      <w:rFonts w:ascii="Arial" w:hAnsi="Arial" w:cs="Arial"/>
      <w:sz w:val="20"/>
      <w:szCs w:val="20"/>
    </w:rPr>
  </w:style>
  <w:style w:type="paragraph" w:customStyle="1" w:styleId="LV-Hinweis">
    <w:name w:val="LV-Hinweis"/>
    <w:uiPriority w:val="99"/>
    <w:pPr>
      <w:widowControl w:val="0"/>
      <w:autoSpaceDE w:val="0"/>
      <w:autoSpaceDN w:val="0"/>
      <w:adjustRightInd w:val="0"/>
      <w:spacing w:after="0" w:line="240" w:lineRule="auto"/>
      <w:ind w:left="1417" w:right="2551"/>
    </w:pPr>
    <w:rPr>
      <w:rFonts w:ascii="Arial" w:hAnsi="Arial" w:cs="Arial"/>
      <w:sz w:val="20"/>
      <w:szCs w:val="20"/>
    </w:rPr>
  </w:style>
  <w:style w:type="paragraph" w:customStyle="1" w:styleId="LV-Ausfrungsbeschreibung">
    <w:name w:val="LV-Ausf・rungsbeschreibung"/>
    <w:uiPriority w:val="99"/>
    <w:pPr>
      <w:widowControl w:val="0"/>
      <w:autoSpaceDE w:val="0"/>
      <w:autoSpaceDN w:val="0"/>
      <w:adjustRightInd w:val="0"/>
      <w:spacing w:after="0" w:line="240" w:lineRule="auto"/>
      <w:ind w:left="1417" w:right="2551"/>
    </w:pPr>
    <w:rPr>
      <w:rFonts w:ascii="Arial" w:hAnsi="Arial" w:cs="Arial"/>
      <w:sz w:val="20"/>
      <w:szCs w:val="20"/>
    </w:rPr>
  </w:style>
  <w:style w:type="paragraph" w:customStyle="1" w:styleId="LV-Textelement">
    <w:name w:val="LV-Textelement"/>
    <w:uiPriority w:val="99"/>
    <w:pPr>
      <w:widowControl w:val="0"/>
      <w:autoSpaceDE w:val="0"/>
      <w:autoSpaceDN w:val="0"/>
      <w:adjustRightInd w:val="0"/>
      <w:spacing w:after="0" w:line="240" w:lineRule="auto"/>
      <w:ind w:left="1417" w:right="2551"/>
    </w:pPr>
    <w:rPr>
      <w:rFonts w:ascii="Arial" w:hAnsi="Arial" w:cs="Arial"/>
      <w:sz w:val="20"/>
      <w:szCs w:val="20"/>
    </w:rPr>
  </w:style>
  <w:style w:type="paragraph" w:customStyle="1" w:styleId="Raumbuch-Langtext">
    <w:name w:val="Raumbuch-Langtext"/>
    <w:uiPriority w:val="99"/>
    <w:pPr>
      <w:widowControl w:val="0"/>
      <w:autoSpaceDE w:val="0"/>
      <w:autoSpaceDN w:val="0"/>
      <w:adjustRightInd w:val="0"/>
      <w:spacing w:after="0" w:line="240" w:lineRule="auto"/>
      <w:ind w:left="1417" w:right="2551"/>
    </w:pPr>
    <w:rPr>
      <w:rFonts w:ascii="Arial" w:hAnsi="Arial" w:cs="Arial"/>
      <w:sz w:val="20"/>
      <w:szCs w:val="20"/>
    </w:rPr>
  </w:style>
  <w:style w:type="paragraph" w:customStyle="1" w:styleId="LV-STVB">
    <w:name w:val="LV-STVB"/>
    <w:uiPriority w:val="99"/>
    <w:pPr>
      <w:widowControl w:val="0"/>
      <w:autoSpaceDE w:val="0"/>
      <w:autoSpaceDN w:val="0"/>
      <w:adjustRightInd w:val="0"/>
      <w:spacing w:after="0" w:line="240" w:lineRule="auto"/>
      <w:ind w:left="1417" w:right="2551"/>
    </w:pPr>
    <w:rPr>
      <w:rFonts w:ascii="Arial" w:hAnsi="Arial" w:cs="Arial"/>
      <w:sz w:val="20"/>
      <w:szCs w:val="20"/>
    </w:rPr>
  </w:style>
  <w:style w:type="paragraph" w:customStyle="1" w:styleId="Ansatz-Langtext">
    <w:name w:val="Ansatz-Langtext"/>
    <w:uiPriority w:val="99"/>
    <w:pPr>
      <w:widowControl w:val="0"/>
      <w:autoSpaceDE w:val="0"/>
      <w:autoSpaceDN w:val="0"/>
      <w:adjustRightInd w:val="0"/>
      <w:spacing w:after="0" w:line="240" w:lineRule="auto"/>
      <w:ind w:left="1417" w:right="2551"/>
    </w:pPr>
    <w:rPr>
      <w:rFonts w:ascii="Arial" w:hAnsi="Arial" w:cs="Arial"/>
      <w:sz w:val="16"/>
      <w:szCs w:val="16"/>
    </w:rPr>
  </w:style>
  <w:style w:type="paragraph" w:customStyle="1" w:styleId="Makro-Langtext">
    <w:name w:val="Makro-Langtext"/>
    <w:uiPriority w:val="99"/>
    <w:pPr>
      <w:widowControl w:val="0"/>
      <w:autoSpaceDE w:val="0"/>
      <w:autoSpaceDN w:val="0"/>
      <w:adjustRightInd w:val="0"/>
      <w:spacing w:after="0" w:line="240" w:lineRule="auto"/>
      <w:ind w:left="1417" w:right="2551"/>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2394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Shuan Ghaderi</dc:creator>
  <cp:lastModifiedBy>Hermann Kreutz</cp:lastModifiedBy>
  <cp:revision>4</cp:revision>
  <cp:lastPrinted>2021-11-21T10:35:00Z</cp:lastPrinted>
  <dcterms:created xsi:type="dcterms:W3CDTF">2020-06-18T10:54:00Z</dcterms:created>
  <dcterms:modified xsi:type="dcterms:W3CDTF">2021-11-21T10:35:00Z</dcterms:modified>
</cp:coreProperties>
</file>